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0F8A" w14:textId="2650F0C9" w:rsidR="00802212" w:rsidRPr="00E02E36" w:rsidRDefault="00802212" w:rsidP="00E02E36">
      <w:pPr>
        <w:spacing w:line="276" w:lineRule="auto"/>
        <w:ind w:right="30"/>
        <w:jc w:val="center"/>
        <w:rPr>
          <w:rFonts w:ascii="Arial" w:hAnsi="Arial" w:cs="Arial"/>
          <w:color w:val="000000"/>
          <w:sz w:val="22"/>
          <w:szCs w:val="22"/>
          <w:lang w:val="en-GB"/>
        </w:rPr>
      </w:pPr>
    </w:p>
    <w:p w14:paraId="14BFB61D" w14:textId="5F9430B7" w:rsidR="00645BAC" w:rsidRPr="00E02E36" w:rsidRDefault="00D74894" w:rsidP="00E02E36">
      <w:pPr>
        <w:spacing w:line="276" w:lineRule="auto"/>
        <w:ind w:right="30"/>
        <w:jc w:val="center"/>
        <w:rPr>
          <w:rFonts w:ascii="Arial" w:hAnsi="Arial" w:cs="Arial"/>
          <w:b/>
          <w:color w:val="000000"/>
          <w:sz w:val="22"/>
          <w:szCs w:val="22"/>
          <w:lang w:val="en-GB"/>
        </w:rPr>
      </w:pPr>
      <w:r w:rsidRPr="00E02E36">
        <w:rPr>
          <w:rFonts w:ascii="Arial" w:hAnsi="Arial" w:cs="Arial"/>
          <w:b/>
          <w:color w:val="000000"/>
          <w:sz w:val="22"/>
          <w:szCs w:val="22"/>
          <w:lang w:val="en-GB"/>
        </w:rPr>
        <w:t>CODEBOOK</w:t>
      </w:r>
    </w:p>
    <w:p w14:paraId="3A2108D6" w14:textId="77777777" w:rsidR="00D74894" w:rsidRPr="00E02E36" w:rsidRDefault="00D74894" w:rsidP="00E02E36">
      <w:pPr>
        <w:spacing w:line="276" w:lineRule="auto"/>
        <w:ind w:right="30"/>
        <w:jc w:val="center"/>
        <w:rPr>
          <w:rFonts w:ascii="Arial" w:hAnsi="Arial" w:cs="Arial"/>
          <w:b/>
          <w:color w:val="000000"/>
          <w:sz w:val="22"/>
          <w:szCs w:val="22"/>
          <w:lang w:val="en-GB"/>
        </w:rPr>
      </w:pPr>
    </w:p>
    <w:p w14:paraId="00000008" w14:textId="77777777" w:rsidR="00B5325F" w:rsidRPr="00E02E36" w:rsidRDefault="00B5325F" w:rsidP="00E02E36">
      <w:pPr>
        <w:spacing w:line="276" w:lineRule="auto"/>
        <w:ind w:right="30"/>
        <w:rPr>
          <w:rFonts w:ascii="Arial" w:hAnsi="Arial" w:cs="Arial"/>
          <w:color w:val="000000"/>
          <w:sz w:val="22"/>
          <w:szCs w:val="22"/>
          <w:lang w:val="en-GB"/>
        </w:rPr>
      </w:pPr>
    </w:p>
    <w:p w14:paraId="00000009" w14:textId="77777777" w:rsidR="00B5325F" w:rsidRPr="00E02E36" w:rsidRDefault="00B5325F" w:rsidP="00E02E36">
      <w:pPr>
        <w:spacing w:line="276" w:lineRule="auto"/>
        <w:ind w:right="30"/>
        <w:jc w:val="right"/>
        <w:rPr>
          <w:rFonts w:ascii="Arial" w:hAnsi="Arial" w:cs="Arial"/>
          <w:color w:val="000000"/>
          <w:sz w:val="22"/>
          <w:szCs w:val="22"/>
          <w:lang w:val="en-GB"/>
        </w:rPr>
      </w:pPr>
    </w:p>
    <w:p w14:paraId="3F570AE0" w14:textId="4F7F3AB7" w:rsidR="00BD66FE" w:rsidRPr="00E02E36" w:rsidRDefault="005F639A" w:rsidP="00E02E36">
      <w:pPr>
        <w:spacing w:line="276" w:lineRule="auto"/>
        <w:ind w:right="30"/>
        <w:rPr>
          <w:rFonts w:ascii="Arial" w:hAnsi="Arial" w:cs="Arial"/>
          <w:color w:val="000000"/>
          <w:sz w:val="22"/>
          <w:szCs w:val="22"/>
          <w:lang w:val="en-GB"/>
        </w:rPr>
      </w:pPr>
      <w:r w:rsidRPr="00E02E36">
        <w:rPr>
          <w:rFonts w:ascii="Arial" w:hAnsi="Arial" w:cs="Arial"/>
          <w:color w:val="000000"/>
          <w:sz w:val="22"/>
          <w:szCs w:val="22"/>
          <w:lang w:val="en-GB"/>
        </w:rPr>
        <w:t>Interest groups in Brazilian climate policy: an analysis of the agriculture and energy sectors</w:t>
      </w:r>
    </w:p>
    <w:p w14:paraId="12B54960" w14:textId="77777777" w:rsidR="005F639A" w:rsidRPr="00E02E36" w:rsidRDefault="005F639A" w:rsidP="00E02E36">
      <w:pPr>
        <w:spacing w:line="276" w:lineRule="auto"/>
        <w:ind w:right="30"/>
        <w:rPr>
          <w:rFonts w:ascii="Arial" w:hAnsi="Arial" w:cs="Arial"/>
          <w:color w:val="000000"/>
          <w:sz w:val="22"/>
          <w:szCs w:val="22"/>
          <w:lang w:val="en-GB"/>
        </w:rPr>
      </w:pPr>
    </w:p>
    <w:p w14:paraId="7AF17504" w14:textId="39A8FC3D" w:rsidR="005F639A" w:rsidRPr="00E02E36" w:rsidRDefault="005F639A" w:rsidP="00E02E36">
      <w:pPr>
        <w:spacing w:line="276" w:lineRule="auto"/>
        <w:ind w:right="30"/>
        <w:rPr>
          <w:rFonts w:ascii="Arial" w:hAnsi="Arial" w:cs="Arial"/>
          <w:color w:val="000000"/>
          <w:sz w:val="22"/>
          <w:szCs w:val="22"/>
          <w:lang w:val="en-GB"/>
        </w:rPr>
      </w:pPr>
      <w:r w:rsidRPr="00E02E36">
        <w:rPr>
          <w:rFonts w:ascii="Arial" w:hAnsi="Arial" w:cs="Arial"/>
          <w:color w:val="000000"/>
          <w:sz w:val="22"/>
          <w:szCs w:val="22"/>
          <w:lang w:val="en-GB"/>
        </w:rPr>
        <w:t>Vinícius Mendes</w:t>
      </w:r>
    </w:p>
    <w:p w14:paraId="43244067" w14:textId="077A6BDE" w:rsidR="005F639A" w:rsidRPr="00E02E36" w:rsidRDefault="005F639A" w:rsidP="00E02E36">
      <w:pPr>
        <w:spacing w:line="276" w:lineRule="auto"/>
        <w:ind w:right="30"/>
        <w:rPr>
          <w:rFonts w:ascii="Arial" w:hAnsi="Arial" w:cs="Arial"/>
          <w:color w:val="000000"/>
          <w:sz w:val="22"/>
          <w:szCs w:val="22"/>
          <w:lang w:val="en-GB"/>
        </w:rPr>
      </w:pPr>
      <w:r w:rsidRPr="00E02E36">
        <w:rPr>
          <w:rFonts w:ascii="Arial" w:hAnsi="Arial" w:cs="Arial"/>
          <w:color w:val="000000"/>
          <w:sz w:val="22"/>
          <w:szCs w:val="22"/>
          <w:lang w:val="en-GB"/>
        </w:rPr>
        <w:t>Eduardo Viola</w:t>
      </w:r>
    </w:p>
    <w:p w14:paraId="0000000B" w14:textId="77777777" w:rsidR="00B5325F" w:rsidRPr="00E02E36" w:rsidRDefault="00B5325F" w:rsidP="00E02E36">
      <w:pPr>
        <w:pBdr>
          <w:top w:val="nil"/>
          <w:left w:val="nil"/>
          <w:bottom w:val="nil"/>
          <w:right w:val="nil"/>
          <w:between w:val="nil"/>
        </w:pBdr>
        <w:spacing w:line="276" w:lineRule="auto"/>
        <w:ind w:left="284"/>
        <w:rPr>
          <w:rFonts w:ascii="Arial" w:hAnsi="Arial" w:cs="Arial"/>
          <w:color w:val="000000"/>
          <w:sz w:val="22"/>
          <w:szCs w:val="22"/>
          <w:lang w:val="en-GB"/>
        </w:rPr>
      </w:pPr>
    </w:p>
    <w:p w14:paraId="63D6EB1B" w14:textId="77777777" w:rsidR="005F639A" w:rsidRPr="00E02E36" w:rsidRDefault="005F639A" w:rsidP="00E02E36">
      <w:pPr>
        <w:spacing w:line="276" w:lineRule="auto"/>
        <w:ind w:right="30"/>
        <w:rPr>
          <w:rFonts w:ascii="Arial" w:hAnsi="Arial" w:cs="Arial"/>
          <w:color w:val="000000"/>
          <w:sz w:val="22"/>
          <w:szCs w:val="22"/>
          <w:lang w:val="en-NL"/>
        </w:rPr>
      </w:pPr>
    </w:p>
    <w:p w14:paraId="56B263E8" w14:textId="77777777" w:rsidR="005F639A" w:rsidRPr="00E02E36" w:rsidRDefault="005F639A" w:rsidP="00E02E36">
      <w:pPr>
        <w:spacing w:line="276" w:lineRule="auto"/>
        <w:ind w:right="30"/>
        <w:rPr>
          <w:rFonts w:ascii="Arial" w:hAnsi="Arial" w:cs="Arial"/>
          <w:color w:val="000000"/>
          <w:sz w:val="22"/>
          <w:szCs w:val="22"/>
          <w:lang w:val="en-NL"/>
        </w:rPr>
      </w:pPr>
    </w:p>
    <w:p w14:paraId="4D7D0589" w14:textId="26251105" w:rsidR="00AE0E81" w:rsidRDefault="00AE0E81" w:rsidP="00E02E36">
      <w:pPr>
        <w:spacing w:line="276" w:lineRule="auto"/>
        <w:ind w:right="30"/>
        <w:rPr>
          <w:rFonts w:ascii="Arial" w:hAnsi="Arial" w:cs="Arial"/>
          <w:color w:val="212121"/>
          <w:sz w:val="22"/>
          <w:szCs w:val="22"/>
          <w:shd w:val="clear" w:color="auto" w:fill="FFFFFF"/>
        </w:rPr>
      </w:pPr>
      <w:r w:rsidRPr="00E02E36">
        <w:rPr>
          <w:rFonts w:ascii="Arial" w:hAnsi="Arial" w:cs="Arial"/>
          <w:color w:val="000000"/>
          <w:sz w:val="22"/>
          <w:szCs w:val="22"/>
        </w:rPr>
        <w:t xml:space="preserve">To build Figure 1, we collected data from SEEG. </w:t>
      </w:r>
      <w:r w:rsidR="001E5264" w:rsidRPr="00E02E36">
        <w:rPr>
          <w:rFonts w:ascii="Arial" w:hAnsi="Arial" w:cs="Arial"/>
          <w:color w:val="000000"/>
          <w:sz w:val="22"/>
          <w:szCs w:val="22"/>
        </w:rPr>
        <w:t>The</w:t>
      </w:r>
      <w:r w:rsidRPr="00E02E36">
        <w:rPr>
          <w:rFonts w:ascii="Arial" w:hAnsi="Arial" w:cs="Arial"/>
          <w:color w:val="000000"/>
          <w:sz w:val="22"/>
          <w:szCs w:val="22"/>
        </w:rPr>
        <w:t xml:space="preserve"> </w:t>
      </w:r>
      <w:r w:rsidR="001E5264" w:rsidRPr="00E02E36">
        <w:rPr>
          <w:rFonts w:ascii="Arial" w:hAnsi="Arial" w:cs="Arial"/>
          <w:color w:val="000000"/>
          <w:sz w:val="22"/>
          <w:szCs w:val="22"/>
        </w:rPr>
        <w:t xml:space="preserve">SEEG initiative estimates of Brazilian greenhouse gas emissions </w:t>
      </w:r>
      <w:r w:rsidR="001E5264" w:rsidRPr="00E02E36">
        <w:rPr>
          <w:rFonts w:ascii="Arial" w:hAnsi="Arial" w:cs="Arial"/>
          <w:color w:val="000000"/>
          <w:sz w:val="22"/>
          <w:szCs w:val="22"/>
        </w:rPr>
        <w:t xml:space="preserve">includes the following variables, with respective </w:t>
      </w:r>
      <w:r w:rsidR="0096741E">
        <w:rPr>
          <w:rFonts w:ascii="Arial" w:hAnsi="Arial" w:cs="Arial"/>
          <w:color w:val="000000"/>
          <w:sz w:val="22"/>
          <w:szCs w:val="22"/>
        </w:rPr>
        <w:t xml:space="preserve">technical </w:t>
      </w:r>
      <w:r w:rsidR="001E5264" w:rsidRPr="00E02E36">
        <w:rPr>
          <w:rFonts w:ascii="Arial" w:hAnsi="Arial" w:cs="Arial"/>
          <w:color w:val="000000"/>
          <w:sz w:val="22"/>
          <w:szCs w:val="22"/>
        </w:rPr>
        <w:t xml:space="preserve">explanations, according to </w:t>
      </w:r>
      <w:r w:rsidR="00E02E36" w:rsidRPr="00E02E36">
        <w:rPr>
          <w:rFonts w:ascii="Arial" w:hAnsi="Arial" w:cs="Arial"/>
          <w:i/>
          <w:iCs/>
          <w:color w:val="212121"/>
          <w:sz w:val="22"/>
          <w:szCs w:val="22"/>
          <w:shd w:val="clear" w:color="auto" w:fill="FFFFFF"/>
        </w:rPr>
        <w:t xml:space="preserve">de Azevedo TR, Costa Junior C, </w:t>
      </w:r>
      <w:proofErr w:type="spellStart"/>
      <w:r w:rsidR="00E02E36" w:rsidRPr="00E02E36">
        <w:rPr>
          <w:rFonts w:ascii="Arial" w:hAnsi="Arial" w:cs="Arial"/>
          <w:i/>
          <w:iCs/>
          <w:color w:val="212121"/>
          <w:sz w:val="22"/>
          <w:szCs w:val="22"/>
          <w:shd w:val="clear" w:color="auto" w:fill="FFFFFF"/>
        </w:rPr>
        <w:t>Brandão</w:t>
      </w:r>
      <w:proofErr w:type="spellEnd"/>
      <w:r w:rsidR="00E02E36" w:rsidRPr="00E02E36">
        <w:rPr>
          <w:rFonts w:ascii="Arial" w:hAnsi="Arial" w:cs="Arial"/>
          <w:i/>
          <w:iCs/>
          <w:color w:val="212121"/>
          <w:sz w:val="22"/>
          <w:szCs w:val="22"/>
          <w:shd w:val="clear" w:color="auto" w:fill="FFFFFF"/>
        </w:rPr>
        <w:t xml:space="preserve"> Junior A, Cremer MDS, </w:t>
      </w:r>
      <w:proofErr w:type="spellStart"/>
      <w:r w:rsidR="00E02E36" w:rsidRPr="00E02E36">
        <w:rPr>
          <w:rFonts w:ascii="Arial" w:hAnsi="Arial" w:cs="Arial"/>
          <w:i/>
          <w:iCs/>
          <w:color w:val="212121"/>
          <w:sz w:val="22"/>
          <w:szCs w:val="22"/>
          <w:shd w:val="clear" w:color="auto" w:fill="FFFFFF"/>
        </w:rPr>
        <w:t>Piatto</w:t>
      </w:r>
      <w:proofErr w:type="spellEnd"/>
      <w:r w:rsidR="00E02E36" w:rsidRPr="00E02E36">
        <w:rPr>
          <w:rFonts w:ascii="Arial" w:hAnsi="Arial" w:cs="Arial"/>
          <w:i/>
          <w:iCs/>
          <w:color w:val="212121"/>
          <w:sz w:val="22"/>
          <w:szCs w:val="22"/>
          <w:shd w:val="clear" w:color="auto" w:fill="FFFFFF"/>
        </w:rPr>
        <w:t xml:space="preserve"> M, Tsai DS, Barreto P, Martins H, Sales M, </w:t>
      </w:r>
      <w:proofErr w:type="spellStart"/>
      <w:r w:rsidR="00E02E36" w:rsidRPr="00E02E36">
        <w:rPr>
          <w:rFonts w:ascii="Arial" w:hAnsi="Arial" w:cs="Arial"/>
          <w:i/>
          <w:iCs/>
          <w:color w:val="212121"/>
          <w:sz w:val="22"/>
          <w:szCs w:val="22"/>
          <w:shd w:val="clear" w:color="auto" w:fill="FFFFFF"/>
        </w:rPr>
        <w:t>Galuchi</w:t>
      </w:r>
      <w:proofErr w:type="spellEnd"/>
      <w:r w:rsidR="00E02E36" w:rsidRPr="00E02E36">
        <w:rPr>
          <w:rFonts w:ascii="Arial" w:hAnsi="Arial" w:cs="Arial"/>
          <w:i/>
          <w:iCs/>
          <w:color w:val="212121"/>
          <w:sz w:val="22"/>
          <w:szCs w:val="22"/>
          <w:shd w:val="clear" w:color="auto" w:fill="FFFFFF"/>
        </w:rPr>
        <w:t xml:space="preserve"> T, Rodrigues A, </w:t>
      </w:r>
      <w:proofErr w:type="spellStart"/>
      <w:r w:rsidR="00E02E36" w:rsidRPr="00E02E36">
        <w:rPr>
          <w:rFonts w:ascii="Arial" w:hAnsi="Arial" w:cs="Arial"/>
          <w:i/>
          <w:iCs/>
          <w:color w:val="212121"/>
          <w:sz w:val="22"/>
          <w:szCs w:val="22"/>
          <w:shd w:val="clear" w:color="auto" w:fill="FFFFFF"/>
        </w:rPr>
        <w:t>Morgado</w:t>
      </w:r>
      <w:proofErr w:type="spellEnd"/>
      <w:r w:rsidR="00E02E36" w:rsidRPr="00E02E36">
        <w:rPr>
          <w:rFonts w:ascii="Arial" w:hAnsi="Arial" w:cs="Arial"/>
          <w:i/>
          <w:iCs/>
          <w:color w:val="212121"/>
          <w:sz w:val="22"/>
          <w:szCs w:val="22"/>
          <w:shd w:val="clear" w:color="auto" w:fill="FFFFFF"/>
        </w:rPr>
        <w:t xml:space="preserve"> R, Ferreira AL, </w:t>
      </w:r>
      <w:proofErr w:type="spellStart"/>
      <w:r w:rsidR="00E02E36" w:rsidRPr="00E02E36">
        <w:rPr>
          <w:rFonts w:ascii="Arial" w:hAnsi="Arial" w:cs="Arial"/>
          <w:i/>
          <w:iCs/>
          <w:color w:val="212121"/>
          <w:sz w:val="22"/>
          <w:szCs w:val="22"/>
          <w:shd w:val="clear" w:color="auto" w:fill="FFFFFF"/>
        </w:rPr>
        <w:t>Barcellos</w:t>
      </w:r>
      <w:proofErr w:type="spellEnd"/>
      <w:r w:rsidR="00E02E36" w:rsidRPr="00E02E36">
        <w:rPr>
          <w:rFonts w:ascii="Arial" w:hAnsi="Arial" w:cs="Arial"/>
          <w:i/>
          <w:iCs/>
          <w:color w:val="212121"/>
          <w:sz w:val="22"/>
          <w:szCs w:val="22"/>
          <w:shd w:val="clear" w:color="auto" w:fill="FFFFFF"/>
        </w:rPr>
        <w:t xml:space="preserve"> E Silva F, </w:t>
      </w:r>
      <w:proofErr w:type="spellStart"/>
      <w:r w:rsidR="00E02E36" w:rsidRPr="00E02E36">
        <w:rPr>
          <w:rFonts w:ascii="Arial" w:hAnsi="Arial" w:cs="Arial"/>
          <w:i/>
          <w:iCs/>
          <w:color w:val="212121"/>
          <w:sz w:val="22"/>
          <w:szCs w:val="22"/>
          <w:shd w:val="clear" w:color="auto" w:fill="FFFFFF"/>
        </w:rPr>
        <w:t>Viscondi</w:t>
      </w:r>
      <w:proofErr w:type="spellEnd"/>
      <w:r w:rsidR="00E02E36" w:rsidRPr="00E02E36">
        <w:rPr>
          <w:rFonts w:ascii="Arial" w:hAnsi="Arial" w:cs="Arial"/>
          <w:i/>
          <w:iCs/>
          <w:color w:val="212121"/>
          <w:sz w:val="22"/>
          <w:szCs w:val="22"/>
          <w:shd w:val="clear" w:color="auto" w:fill="FFFFFF"/>
        </w:rPr>
        <w:t xml:space="preserve"> GF, Dos Santos KC, Cunha KBD, </w:t>
      </w:r>
      <w:proofErr w:type="spellStart"/>
      <w:r w:rsidR="00E02E36" w:rsidRPr="00E02E36">
        <w:rPr>
          <w:rFonts w:ascii="Arial" w:hAnsi="Arial" w:cs="Arial"/>
          <w:i/>
          <w:iCs/>
          <w:color w:val="212121"/>
          <w:sz w:val="22"/>
          <w:szCs w:val="22"/>
          <w:shd w:val="clear" w:color="auto" w:fill="FFFFFF"/>
        </w:rPr>
        <w:t>Manetti</w:t>
      </w:r>
      <w:proofErr w:type="spellEnd"/>
      <w:r w:rsidR="00E02E36" w:rsidRPr="00E02E36">
        <w:rPr>
          <w:rFonts w:ascii="Arial" w:hAnsi="Arial" w:cs="Arial"/>
          <w:i/>
          <w:iCs/>
          <w:color w:val="212121"/>
          <w:sz w:val="22"/>
          <w:szCs w:val="22"/>
          <w:shd w:val="clear" w:color="auto" w:fill="FFFFFF"/>
        </w:rPr>
        <w:t xml:space="preserve"> A, </w:t>
      </w:r>
      <w:proofErr w:type="spellStart"/>
      <w:r w:rsidR="00E02E36" w:rsidRPr="00E02E36">
        <w:rPr>
          <w:rFonts w:ascii="Arial" w:hAnsi="Arial" w:cs="Arial"/>
          <w:i/>
          <w:iCs/>
          <w:color w:val="212121"/>
          <w:sz w:val="22"/>
          <w:szCs w:val="22"/>
          <w:shd w:val="clear" w:color="auto" w:fill="FFFFFF"/>
        </w:rPr>
        <w:t>Coluna</w:t>
      </w:r>
      <w:proofErr w:type="spellEnd"/>
      <w:r w:rsidR="00E02E36" w:rsidRPr="00E02E36">
        <w:rPr>
          <w:rFonts w:ascii="Arial" w:hAnsi="Arial" w:cs="Arial"/>
          <w:i/>
          <w:iCs/>
          <w:color w:val="212121"/>
          <w:sz w:val="22"/>
          <w:szCs w:val="22"/>
          <w:shd w:val="clear" w:color="auto" w:fill="FFFFFF"/>
        </w:rPr>
        <w:t xml:space="preserve"> IME, Albuquerque IR, Junior SW, </w:t>
      </w:r>
      <w:proofErr w:type="spellStart"/>
      <w:r w:rsidR="00E02E36" w:rsidRPr="00E02E36">
        <w:rPr>
          <w:rFonts w:ascii="Arial" w:hAnsi="Arial" w:cs="Arial"/>
          <w:i/>
          <w:iCs/>
          <w:color w:val="212121"/>
          <w:sz w:val="22"/>
          <w:szCs w:val="22"/>
          <w:shd w:val="clear" w:color="auto" w:fill="FFFFFF"/>
        </w:rPr>
        <w:t>Leite</w:t>
      </w:r>
      <w:proofErr w:type="spellEnd"/>
      <w:r w:rsidR="00E02E36" w:rsidRPr="00E02E36">
        <w:rPr>
          <w:rFonts w:ascii="Arial" w:hAnsi="Arial" w:cs="Arial"/>
          <w:i/>
          <w:iCs/>
          <w:color w:val="212121"/>
          <w:sz w:val="22"/>
          <w:szCs w:val="22"/>
          <w:shd w:val="clear" w:color="auto" w:fill="FFFFFF"/>
        </w:rPr>
        <w:t xml:space="preserve"> C, </w:t>
      </w:r>
      <w:proofErr w:type="spellStart"/>
      <w:r w:rsidR="00E02E36" w:rsidRPr="00E02E36">
        <w:rPr>
          <w:rFonts w:ascii="Arial" w:hAnsi="Arial" w:cs="Arial"/>
          <w:i/>
          <w:iCs/>
          <w:color w:val="212121"/>
          <w:sz w:val="22"/>
          <w:szCs w:val="22"/>
          <w:shd w:val="clear" w:color="auto" w:fill="FFFFFF"/>
        </w:rPr>
        <w:t>Kishinami</w:t>
      </w:r>
      <w:proofErr w:type="spellEnd"/>
      <w:r w:rsidR="00E02E36" w:rsidRPr="00E02E36">
        <w:rPr>
          <w:rFonts w:ascii="Arial" w:hAnsi="Arial" w:cs="Arial"/>
          <w:i/>
          <w:iCs/>
          <w:color w:val="212121"/>
          <w:sz w:val="22"/>
          <w:szCs w:val="22"/>
          <w:shd w:val="clear" w:color="auto" w:fill="FFFFFF"/>
        </w:rPr>
        <w:t xml:space="preserve"> R. SEEG initiative estimates of Brazilian greenhouse gas emissions from 1970 to 2015. Sci Data. 2018 May 29;5:180045. </w:t>
      </w:r>
      <w:proofErr w:type="spellStart"/>
      <w:r w:rsidR="00E02E36" w:rsidRPr="00E02E36">
        <w:rPr>
          <w:rFonts w:ascii="Arial" w:hAnsi="Arial" w:cs="Arial"/>
          <w:i/>
          <w:iCs/>
          <w:color w:val="212121"/>
          <w:sz w:val="22"/>
          <w:szCs w:val="22"/>
          <w:shd w:val="clear" w:color="auto" w:fill="FFFFFF"/>
        </w:rPr>
        <w:t>doi</w:t>
      </w:r>
      <w:proofErr w:type="spellEnd"/>
      <w:r w:rsidR="00E02E36" w:rsidRPr="00E02E36">
        <w:rPr>
          <w:rFonts w:ascii="Arial" w:hAnsi="Arial" w:cs="Arial"/>
          <w:i/>
          <w:iCs/>
          <w:color w:val="212121"/>
          <w:sz w:val="22"/>
          <w:szCs w:val="22"/>
          <w:shd w:val="clear" w:color="auto" w:fill="FFFFFF"/>
        </w:rPr>
        <w:t>: 10.1038/sdata.2018.45. PMID: 29809176; PMCID: PMC5972695</w:t>
      </w:r>
      <w:r w:rsidR="00E02E36" w:rsidRPr="00E02E36">
        <w:rPr>
          <w:rFonts w:ascii="Arial" w:hAnsi="Arial" w:cs="Arial"/>
          <w:color w:val="212121"/>
          <w:sz w:val="22"/>
          <w:szCs w:val="22"/>
          <w:shd w:val="clear" w:color="auto" w:fill="FFFFFF"/>
        </w:rPr>
        <w:t>.</w:t>
      </w:r>
    </w:p>
    <w:p w14:paraId="11704A2C" w14:textId="6CC95441" w:rsidR="0096741E" w:rsidRDefault="0096741E" w:rsidP="00E02E36">
      <w:pPr>
        <w:spacing w:line="276" w:lineRule="auto"/>
        <w:ind w:right="30"/>
        <w:rPr>
          <w:rFonts w:ascii="Arial" w:hAnsi="Arial" w:cs="Arial"/>
          <w:color w:val="212121"/>
          <w:sz w:val="22"/>
          <w:szCs w:val="22"/>
          <w:shd w:val="clear" w:color="auto" w:fill="FFFFFF"/>
        </w:rPr>
      </w:pPr>
      <w:hyperlink r:id="rId9" w:history="1">
        <w:r w:rsidRPr="00003E3C">
          <w:rPr>
            <w:rStyle w:val="Hyperlink"/>
            <w:rFonts w:ascii="Arial" w:hAnsi="Arial" w:cs="Arial"/>
            <w:sz w:val="22"/>
            <w:szCs w:val="22"/>
            <w:shd w:val="clear" w:color="auto" w:fill="FFFFFF"/>
          </w:rPr>
          <w:t>https://www.ncbi.nlm.nih.gov/pmc/articles/PMC5972695/</w:t>
        </w:r>
      </w:hyperlink>
    </w:p>
    <w:p w14:paraId="559B7332" w14:textId="77777777" w:rsidR="0096741E" w:rsidRPr="00E02E36" w:rsidRDefault="0096741E" w:rsidP="00E02E36">
      <w:pPr>
        <w:spacing w:line="276" w:lineRule="auto"/>
        <w:ind w:right="30"/>
        <w:rPr>
          <w:rFonts w:ascii="Arial" w:hAnsi="Arial" w:cs="Arial"/>
          <w:color w:val="212121"/>
          <w:sz w:val="22"/>
          <w:szCs w:val="22"/>
          <w:shd w:val="clear" w:color="auto" w:fill="FFFFFF"/>
        </w:rPr>
      </w:pPr>
    </w:p>
    <w:p w14:paraId="140B8B5A" w14:textId="77777777" w:rsidR="00E02E36" w:rsidRPr="00E02E36" w:rsidRDefault="00E02E36" w:rsidP="00E02E36">
      <w:pPr>
        <w:spacing w:line="276" w:lineRule="auto"/>
        <w:ind w:right="30"/>
        <w:rPr>
          <w:rFonts w:ascii="Arial" w:hAnsi="Arial" w:cs="Arial"/>
          <w:color w:val="000000"/>
          <w:sz w:val="22"/>
          <w:szCs w:val="22"/>
        </w:rPr>
      </w:pPr>
    </w:p>
    <w:p w14:paraId="2A0894CD" w14:textId="1AC688DB" w:rsidR="00F67C85" w:rsidRPr="00DF0296" w:rsidRDefault="00F67C85" w:rsidP="00E02E36">
      <w:pPr>
        <w:spacing w:line="276" w:lineRule="auto"/>
        <w:ind w:right="30"/>
        <w:rPr>
          <w:rFonts w:ascii="Arial" w:hAnsi="Arial" w:cs="Arial"/>
          <w:b/>
          <w:bCs/>
          <w:color w:val="000000"/>
          <w:sz w:val="22"/>
          <w:szCs w:val="22"/>
        </w:rPr>
      </w:pPr>
      <w:r w:rsidRPr="00DF0296">
        <w:rPr>
          <w:rFonts w:ascii="Arial" w:hAnsi="Arial" w:cs="Arial"/>
          <w:b/>
          <w:bCs/>
          <w:color w:val="000000"/>
          <w:sz w:val="22"/>
          <w:szCs w:val="22"/>
          <w:lang w:val="en-NL"/>
        </w:rPr>
        <w:t>W</w:t>
      </w:r>
      <w:r w:rsidRPr="00F67C85">
        <w:rPr>
          <w:rFonts w:ascii="Arial" w:hAnsi="Arial" w:cs="Arial"/>
          <w:b/>
          <w:bCs/>
          <w:color w:val="000000"/>
          <w:sz w:val="22"/>
          <w:szCs w:val="22"/>
          <w:lang w:val="en-NL"/>
        </w:rPr>
        <w:t>aste</w:t>
      </w:r>
      <w:r w:rsidR="005F639A" w:rsidRPr="00DF0296">
        <w:rPr>
          <w:rFonts w:ascii="Arial" w:hAnsi="Arial" w:cs="Arial"/>
          <w:b/>
          <w:bCs/>
          <w:color w:val="000000"/>
          <w:sz w:val="22"/>
          <w:szCs w:val="22"/>
        </w:rPr>
        <w:t>:</w:t>
      </w:r>
    </w:p>
    <w:p w14:paraId="7AF37358" w14:textId="5F287A03" w:rsidR="00DF0296" w:rsidRPr="00DF0296" w:rsidRDefault="00DF0296" w:rsidP="00DF0296">
      <w:pPr>
        <w:spacing w:line="276" w:lineRule="auto"/>
        <w:ind w:right="30"/>
        <w:jc w:val="both"/>
        <w:rPr>
          <w:rFonts w:ascii="Arial" w:hAnsi="Arial" w:cs="Arial"/>
          <w:color w:val="000000"/>
          <w:sz w:val="20"/>
          <w:szCs w:val="20"/>
        </w:rPr>
      </w:pPr>
      <w:r>
        <w:rPr>
          <w:rFonts w:ascii="Arial" w:hAnsi="Arial" w:cs="Arial"/>
          <w:color w:val="000000"/>
          <w:sz w:val="20"/>
          <w:szCs w:val="20"/>
        </w:rPr>
        <w:t>“</w:t>
      </w:r>
      <w:r w:rsidRPr="00DF0296">
        <w:rPr>
          <w:rFonts w:ascii="Arial" w:hAnsi="Arial" w:cs="Arial"/>
          <w:color w:val="000000"/>
          <w:sz w:val="20"/>
          <w:szCs w:val="20"/>
        </w:rPr>
        <w:t>This sector covers estimations of GHG emissions from solid waste and wastewater treatment and discharge, except emissions related to the waste generated from agricultural and livestock activities, which are accounted for in the agriculture sector. The GHG emitted and their corresponding activities are: (</w:t>
      </w:r>
      <w:proofErr w:type="spellStart"/>
      <w:r w:rsidRPr="00DF0296">
        <w:rPr>
          <w:rFonts w:ascii="Arial" w:hAnsi="Arial" w:cs="Arial"/>
          <w:color w:val="000000"/>
          <w:sz w:val="20"/>
          <w:szCs w:val="20"/>
        </w:rPr>
        <w:t>i</w:t>
      </w:r>
      <w:proofErr w:type="spellEnd"/>
      <w:r w:rsidRPr="00DF0296">
        <w:rPr>
          <w:rFonts w:ascii="Arial" w:hAnsi="Arial" w:cs="Arial"/>
          <w:color w:val="000000"/>
          <w:sz w:val="20"/>
          <w:szCs w:val="20"/>
        </w:rPr>
        <w:t>) CH4 emissions from solid waste disposed in landfills or dump sites and industrial and domestic wastewater treatment and discharge; (ii) N2O emissions from the incineration of clinical and hazardous waste and domestic wastewater treatment and discharge; and (iii) CO2 emissions from the incineration of clinical and hazardous waste</w:t>
      </w:r>
      <w:r>
        <w:rPr>
          <w:rFonts w:ascii="Arial" w:hAnsi="Arial" w:cs="Arial"/>
          <w:color w:val="000000"/>
          <w:sz w:val="20"/>
          <w:szCs w:val="20"/>
        </w:rPr>
        <w:t>.”</w:t>
      </w:r>
      <w:r w:rsidRPr="00DF0296">
        <w:rPr>
          <w:rFonts w:ascii="Arial" w:hAnsi="Arial" w:cs="Arial"/>
          <w:color w:val="000000"/>
          <w:sz w:val="20"/>
          <w:szCs w:val="20"/>
        </w:rPr>
        <w:t xml:space="preserve"> </w:t>
      </w:r>
      <w:r>
        <w:rPr>
          <w:rFonts w:ascii="Arial" w:hAnsi="Arial" w:cs="Arial"/>
          <w:color w:val="000000"/>
          <w:sz w:val="20"/>
          <w:szCs w:val="20"/>
        </w:rPr>
        <w:t xml:space="preserve">(de Azevedo et al., 2018, </w:t>
      </w:r>
      <w:r w:rsidRPr="00F40346">
        <w:rPr>
          <w:rFonts w:ascii="Arial" w:hAnsi="Arial" w:cs="Arial"/>
          <w:color w:val="000000"/>
          <w:sz w:val="20"/>
          <w:szCs w:val="20"/>
        </w:rPr>
        <w:t>5:180045</w:t>
      </w:r>
      <w:r>
        <w:rPr>
          <w:rFonts w:ascii="Arial" w:hAnsi="Arial" w:cs="Arial"/>
          <w:color w:val="000000"/>
          <w:sz w:val="20"/>
          <w:szCs w:val="20"/>
        </w:rPr>
        <w:t>).</w:t>
      </w:r>
    </w:p>
    <w:p w14:paraId="292E8519" w14:textId="77777777" w:rsidR="00F40346" w:rsidRDefault="00F40346" w:rsidP="00E02E36">
      <w:pPr>
        <w:spacing w:line="276" w:lineRule="auto"/>
        <w:ind w:right="30"/>
        <w:rPr>
          <w:rFonts w:ascii="Arial" w:hAnsi="Arial" w:cs="Arial"/>
          <w:color w:val="000000"/>
          <w:sz w:val="22"/>
          <w:szCs w:val="22"/>
        </w:rPr>
      </w:pPr>
    </w:p>
    <w:p w14:paraId="11F38BD4" w14:textId="02704C5F" w:rsidR="00F67C85" w:rsidRPr="00687A6E" w:rsidRDefault="00F67C85" w:rsidP="00E02E36">
      <w:pPr>
        <w:spacing w:line="276" w:lineRule="auto"/>
        <w:ind w:right="30"/>
        <w:rPr>
          <w:rFonts w:ascii="Arial" w:hAnsi="Arial" w:cs="Arial"/>
          <w:b/>
          <w:bCs/>
          <w:color w:val="000000"/>
          <w:sz w:val="22"/>
          <w:szCs w:val="22"/>
        </w:rPr>
      </w:pPr>
      <w:r w:rsidRPr="00687A6E">
        <w:rPr>
          <w:rFonts w:ascii="Arial" w:hAnsi="Arial" w:cs="Arial"/>
          <w:b/>
          <w:bCs/>
          <w:color w:val="000000"/>
          <w:sz w:val="22"/>
          <w:szCs w:val="22"/>
        </w:rPr>
        <w:t>I</w:t>
      </w:r>
      <w:r w:rsidRPr="00F67C85">
        <w:rPr>
          <w:rFonts w:ascii="Arial" w:hAnsi="Arial" w:cs="Arial"/>
          <w:b/>
          <w:bCs/>
          <w:color w:val="000000"/>
          <w:sz w:val="22"/>
          <w:szCs w:val="22"/>
          <w:lang w:val="en-NL"/>
        </w:rPr>
        <w:t xml:space="preserve">ndustrial </w:t>
      </w:r>
      <w:r w:rsidRPr="00687A6E">
        <w:rPr>
          <w:rFonts w:ascii="Arial" w:hAnsi="Arial" w:cs="Arial"/>
          <w:b/>
          <w:bCs/>
          <w:color w:val="000000"/>
          <w:sz w:val="22"/>
          <w:szCs w:val="22"/>
          <w:lang w:val="en-NL"/>
        </w:rPr>
        <w:t>Processes</w:t>
      </w:r>
      <w:r w:rsidR="00E649CF" w:rsidRPr="00687A6E">
        <w:rPr>
          <w:rFonts w:ascii="Arial" w:hAnsi="Arial" w:cs="Arial"/>
          <w:b/>
          <w:bCs/>
          <w:color w:val="000000"/>
          <w:sz w:val="22"/>
          <w:szCs w:val="22"/>
        </w:rPr>
        <w:t>:</w:t>
      </w:r>
    </w:p>
    <w:p w14:paraId="36566876" w14:textId="265534D7" w:rsidR="00687A6E" w:rsidRPr="00687A6E" w:rsidRDefault="00687A6E" w:rsidP="00687A6E">
      <w:pPr>
        <w:spacing w:line="276" w:lineRule="auto"/>
        <w:ind w:right="30"/>
        <w:jc w:val="both"/>
        <w:rPr>
          <w:rFonts w:ascii="Arial" w:hAnsi="Arial" w:cs="Arial"/>
          <w:color w:val="000000"/>
          <w:sz w:val="20"/>
          <w:szCs w:val="20"/>
        </w:rPr>
      </w:pPr>
      <w:r>
        <w:rPr>
          <w:rFonts w:ascii="Arial" w:hAnsi="Arial" w:cs="Arial"/>
          <w:color w:val="000000"/>
          <w:sz w:val="20"/>
          <w:szCs w:val="20"/>
        </w:rPr>
        <w:t>“</w:t>
      </w:r>
      <w:r w:rsidRPr="00687A6E">
        <w:rPr>
          <w:rFonts w:ascii="Arial" w:hAnsi="Arial" w:cs="Arial"/>
          <w:color w:val="000000"/>
          <w:sz w:val="20"/>
          <w:szCs w:val="20"/>
        </w:rPr>
        <w:t xml:space="preserve">GHG Emissions that occurred in chemical or physical material transformation in industrial activities. Inventoried gases are carbon dioxide (CO2), methane (CH4), nitrous oxide (N2O), carbon monoxide (CO), non-methane volatile organic compounds (NMVOC), nitrogen oxides (NOx), perfluorocarbons (CF4 and C2F6), hydrofluorocarbons (HFC-23, HFC-32, HFC-125, HFC-134a, HFC-143a, HFC-152a and </w:t>
      </w:r>
      <w:proofErr w:type="spellStart"/>
      <w:r w:rsidRPr="00687A6E">
        <w:rPr>
          <w:rFonts w:ascii="Arial" w:hAnsi="Arial" w:cs="Arial"/>
          <w:color w:val="000000"/>
          <w:sz w:val="20"/>
          <w:szCs w:val="20"/>
        </w:rPr>
        <w:t>sulphur</w:t>
      </w:r>
      <w:proofErr w:type="spellEnd"/>
      <w:r w:rsidRPr="00687A6E">
        <w:rPr>
          <w:rFonts w:ascii="Arial" w:hAnsi="Arial" w:cs="Arial"/>
          <w:color w:val="000000"/>
          <w:sz w:val="20"/>
          <w:szCs w:val="20"/>
        </w:rPr>
        <w:t xml:space="preserve"> hexafluoride (SF6). Industrial fuel combustion and waste disposal emissions are accounted for in the Energy and Waste sectors, respectively. The emission estimation groups are listed as follows: (</w:t>
      </w:r>
      <w:proofErr w:type="spellStart"/>
      <w:r w:rsidRPr="00687A6E">
        <w:rPr>
          <w:rFonts w:ascii="Arial" w:hAnsi="Arial" w:cs="Arial"/>
          <w:color w:val="000000"/>
          <w:sz w:val="20"/>
          <w:szCs w:val="20"/>
        </w:rPr>
        <w:t>i</w:t>
      </w:r>
      <w:proofErr w:type="spellEnd"/>
      <w:r w:rsidRPr="00687A6E">
        <w:rPr>
          <w:rFonts w:ascii="Arial" w:hAnsi="Arial" w:cs="Arial"/>
          <w:color w:val="000000"/>
          <w:sz w:val="20"/>
          <w:szCs w:val="20"/>
        </w:rPr>
        <w:t>) Metal production: pig iron and steel, ferroalloys, aluminum, magnesium and other non-ferrous metal production; (ii) Mineral products: lime, cement and glass production and soda ash consumption; (iii) Chemical industry: adipic acid, phosphoric acid, nitric acid, acrylonitrile, ammonia, caprolactam, calcium carbide, vinyl chloride, ethylene, methanol, carbon black, ethylene oxide, calcined petroleum coke and other petrochemical production; (iv) Hydrofluorocarbons (HFCs) emissions; (v) Sulphur hexafluoride (SF6) use in electrical equipment; (vi) Non-energy products from fuel and solvent use</w:t>
      </w:r>
      <w:r>
        <w:rPr>
          <w:rFonts w:ascii="Arial" w:hAnsi="Arial" w:cs="Arial"/>
          <w:color w:val="000000"/>
          <w:sz w:val="20"/>
          <w:szCs w:val="20"/>
        </w:rPr>
        <w:t>.</w:t>
      </w:r>
      <w:r>
        <w:rPr>
          <w:rFonts w:ascii="Arial" w:hAnsi="Arial" w:cs="Arial"/>
          <w:color w:val="000000"/>
          <w:sz w:val="20"/>
          <w:szCs w:val="20"/>
        </w:rPr>
        <w:t>”</w:t>
      </w:r>
      <w:r w:rsidRPr="00DF0296">
        <w:rPr>
          <w:rFonts w:ascii="Arial" w:hAnsi="Arial" w:cs="Arial"/>
          <w:color w:val="000000"/>
          <w:sz w:val="20"/>
          <w:szCs w:val="20"/>
        </w:rPr>
        <w:t xml:space="preserve"> </w:t>
      </w:r>
      <w:r>
        <w:rPr>
          <w:rFonts w:ascii="Arial" w:hAnsi="Arial" w:cs="Arial"/>
          <w:color w:val="000000"/>
          <w:sz w:val="20"/>
          <w:szCs w:val="20"/>
        </w:rPr>
        <w:t xml:space="preserve">(de Azevedo et al., 2018, </w:t>
      </w:r>
      <w:r w:rsidRPr="00F40346">
        <w:rPr>
          <w:rFonts w:ascii="Arial" w:hAnsi="Arial" w:cs="Arial"/>
          <w:color w:val="000000"/>
          <w:sz w:val="20"/>
          <w:szCs w:val="20"/>
        </w:rPr>
        <w:t>5:180045</w:t>
      </w:r>
      <w:r>
        <w:rPr>
          <w:rFonts w:ascii="Arial" w:hAnsi="Arial" w:cs="Arial"/>
          <w:color w:val="000000"/>
          <w:sz w:val="20"/>
          <w:szCs w:val="20"/>
        </w:rPr>
        <w:t>)</w:t>
      </w:r>
    </w:p>
    <w:p w14:paraId="0F7B2612" w14:textId="77777777" w:rsidR="00F40346" w:rsidRDefault="00F40346" w:rsidP="00E02E36">
      <w:pPr>
        <w:spacing w:line="276" w:lineRule="auto"/>
        <w:ind w:right="30"/>
        <w:rPr>
          <w:rFonts w:ascii="Arial" w:hAnsi="Arial" w:cs="Arial"/>
          <w:color w:val="000000"/>
          <w:sz w:val="22"/>
          <w:szCs w:val="22"/>
          <w:lang w:val="en-NL"/>
        </w:rPr>
      </w:pPr>
    </w:p>
    <w:p w14:paraId="58DA09C3" w14:textId="0F717AA8" w:rsidR="00F67C85" w:rsidRPr="00F40346" w:rsidRDefault="00F67C85" w:rsidP="00E02E36">
      <w:pPr>
        <w:spacing w:line="276" w:lineRule="auto"/>
        <w:ind w:right="30"/>
        <w:rPr>
          <w:rFonts w:ascii="Arial" w:hAnsi="Arial" w:cs="Arial"/>
          <w:b/>
          <w:bCs/>
          <w:color w:val="000000"/>
          <w:sz w:val="22"/>
          <w:szCs w:val="22"/>
        </w:rPr>
      </w:pPr>
      <w:r w:rsidRPr="00F40346">
        <w:rPr>
          <w:rFonts w:ascii="Arial" w:hAnsi="Arial" w:cs="Arial"/>
          <w:b/>
          <w:bCs/>
          <w:color w:val="000000"/>
          <w:sz w:val="22"/>
          <w:szCs w:val="22"/>
          <w:lang w:val="en-NL"/>
        </w:rPr>
        <w:t>Energy</w:t>
      </w:r>
      <w:r w:rsidR="004A23BA" w:rsidRPr="00F40346">
        <w:rPr>
          <w:rFonts w:ascii="Arial" w:hAnsi="Arial" w:cs="Arial"/>
          <w:b/>
          <w:bCs/>
          <w:color w:val="000000"/>
          <w:sz w:val="22"/>
          <w:szCs w:val="22"/>
        </w:rPr>
        <w:t>:</w:t>
      </w:r>
    </w:p>
    <w:p w14:paraId="2B5F151F" w14:textId="7EFB7D15" w:rsidR="00F40346" w:rsidRDefault="00F40346" w:rsidP="00F40346">
      <w:pPr>
        <w:spacing w:line="276" w:lineRule="auto"/>
        <w:ind w:right="30"/>
        <w:jc w:val="both"/>
        <w:rPr>
          <w:rFonts w:ascii="Arial" w:hAnsi="Arial" w:cs="Arial"/>
          <w:color w:val="000000"/>
          <w:sz w:val="20"/>
          <w:szCs w:val="20"/>
        </w:rPr>
      </w:pPr>
      <w:r w:rsidRPr="00F40346">
        <w:rPr>
          <w:rFonts w:ascii="Arial" w:hAnsi="Arial" w:cs="Arial"/>
          <w:color w:val="000000"/>
          <w:sz w:val="20"/>
          <w:szCs w:val="20"/>
        </w:rPr>
        <w:t>“</w:t>
      </w:r>
      <w:r w:rsidRPr="00F40346">
        <w:rPr>
          <w:rFonts w:ascii="Arial" w:hAnsi="Arial" w:cs="Arial"/>
          <w:color w:val="000000"/>
          <w:sz w:val="20"/>
          <w:szCs w:val="20"/>
        </w:rPr>
        <w:t>GHG emissions occur through two different processes: (</w:t>
      </w:r>
      <w:proofErr w:type="spellStart"/>
      <w:r w:rsidRPr="00F40346">
        <w:rPr>
          <w:rFonts w:ascii="Arial" w:hAnsi="Arial" w:cs="Arial"/>
          <w:color w:val="000000"/>
          <w:sz w:val="20"/>
          <w:szCs w:val="20"/>
        </w:rPr>
        <w:t>i</w:t>
      </w:r>
      <w:proofErr w:type="spellEnd"/>
      <w:r w:rsidRPr="00F40346">
        <w:rPr>
          <w:rFonts w:ascii="Arial" w:hAnsi="Arial" w:cs="Arial"/>
          <w:color w:val="000000"/>
          <w:sz w:val="20"/>
          <w:szCs w:val="20"/>
        </w:rPr>
        <w:t xml:space="preserve">) fuel combustion and (ii) fugitive emissions. In fuel combustion, fuel chemical energy content is converted into heat. End-use equipment direct </w:t>
      </w:r>
      <w:r w:rsidRPr="00F40346">
        <w:rPr>
          <w:rFonts w:ascii="Arial" w:hAnsi="Arial" w:cs="Arial"/>
          <w:color w:val="000000"/>
          <w:sz w:val="20"/>
          <w:szCs w:val="20"/>
        </w:rPr>
        <w:lastRenderedPageBreak/>
        <w:t>consumption (ovens, heaters, dryers, etc.) and conversion into mechanical or electrical energy (thermal electricity generation and mobile sources) are two possible ways for this heat. During combustion, carbon (C) stored in the fuel is oxidized and released as carbon dioxide (CO2). There are also relatively minor emissions of other gases resulting (</w:t>
      </w:r>
      <w:proofErr w:type="spellStart"/>
      <w:r w:rsidRPr="00F40346">
        <w:rPr>
          <w:rFonts w:ascii="Arial" w:hAnsi="Arial" w:cs="Arial"/>
          <w:color w:val="000000"/>
          <w:sz w:val="20"/>
          <w:szCs w:val="20"/>
        </w:rPr>
        <w:t>i</w:t>
      </w:r>
      <w:proofErr w:type="spellEnd"/>
      <w:r w:rsidRPr="00F40346">
        <w:rPr>
          <w:rFonts w:ascii="Arial" w:hAnsi="Arial" w:cs="Arial"/>
          <w:color w:val="000000"/>
          <w:sz w:val="20"/>
          <w:szCs w:val="20"/>
        </w:rPr>
        <w:t>) from incomplete fuel combustion - methane (CH4), carbon monoxide (CO) and non-methane volatile organic compounds (NMVOCs) -, and (ii) from nitrogen (N2) oxidation, mainly originating from air consumption in combustion, depending on process temperature - nitrogen oxides (NOx) and nitrous oxide (N2O). Fugitive emissions are intentional and unintentional releases that occur during processes of coal, oil and natural gas production. These emissions are related to fuel extraction, storage, processing and product transport activities. Inventoried gases for these activities are CO2, CH4 and N2O</w:t>
      </w:r>
      <w:r>
        <w:rPr>
          <w:rFonts w:ascii="Arial" w:hAnsi="Arial" w:cs="Arial"/>
          <w:color w:val="000000"/>
          <w:sz w:val="20"/>
          <w:szCs w:val="20"/>
        </w:rPr>
        <w:t>.”</w:t>
      </w:r>
      <w:r w:rsidRPr="00F40346">
        <w:rPr>
          <w:rFonts w:ascii="Arial" w:hAnsi="Arial" w:cs="Arial"/>
          <w:color w:val="000000"/>
          <w:sz w:val="20"/>
          <w:szCs w:val="20"/>
        </w:rPr>
        <w:t xml:space="preserve"> </w:t>
      </w:r>
      <w:r>
        <w:rPr>
          <w:rFonts w:ascii="Arial" w:hAnsi="Arial" w:cs="Arial"/>
          <w:color w:val="000000"/>
          <w:sz w:val="20"/>
          <w:szCs w:val="20"/>
        </w:rPr>
        <w:t xml:space="preserve">(de Azevedo et al., 2018, </w:t>
      </w:r>
      <w:r w:rsidRPr="00F40346">
        <w:rPr>
          <w:rFonts w:ascii="Arial" w:hAnsi="Arial" w:cs="Arial"/>
          <w:color w:val="000000"/>
          <w:sz w:val="20"/>
          <w:szCs w:val="20"/>
        </w:rPr>
        <w:t>5:180045</w:t>
      </w:r>
      <w:r>
        <w:rPr>
          <w:rFonts w:ascii="Arial" w:hAnsi="Arial" w:cs="Arial"/>
          <w:color w:val="000000"/>
          <w:sz w:val="20"/>
          <w:szCs w:val="20"/>
        </w:rPr>
        <w:t>).</w:t>
      </w:r>
    </w:p>
    <w:p w14:paraId="1530021A" w14:textId="77777777" w:rsidR="00F40346" w:rsidRPr="00F40346" w:rsidRDefault="00F40346" w:rsidP="00F40346">
      <w:pPr>
        <w:spacing w:line="276" w:lineRule="auto"/>
        <w:ind w:right="30"/>
        <w:jc w:val="both"/>
        <w:rPr>
          <w:rFonts w:ascii="Arial" w:hAnsi="Arial" w:cs="Arial"/>
          <w:color w:val="000000"/>
          <w:sz w:val="20"/>
          <w:szCs w:val="20"/>
        </w:rPr>
      </w:pPr>
    </w:p>
    <w:p w14:paraId="6C50A8D8" w14:textId="77777777" w:rsidR="00165EE0" w:rsidRPr="00F40346" w:rsidRDefault="00F67C85" w:rsidP="00E02E36">
      <w:pPr>
        <w:spacing w:line="276" w:lineRule="auto"/>
        <w:ind w:right="30"/>
        <w:rPr>
          <w:rFonts w:ascii="Arial" w:hAnsi="Arial" w:cs="Arial"/>
          <w:b/>
          <w:bCs/>
          <w:color w:val="000000"/>
          <w:sz w:val="22"/>
          <w:szCs w:val="22"/>
        </w:rPr>
      </w:pPr>
      <w:r w:rsidRPr="00F40346">
        <w:rPr>
          <w:rFonts w:ascii="Arial" w:hAnsi="Arial" w:cs="Arial"/>
          <w:b/>
          <w:bCs/>
          <w:color w:val="000000"/>
          <w:sz w:val="22"/>
          <w:szCs w:val="22"/>
          <w:lang w:val="en-NL"/>
        </w:rPr>
        <w:t>Farming</w:t>
      </w:r>
      <w:r w:rsidR="00290CC9" w:rsidRPr="00F40346">
        <w:rPr>
          <w:rFonts w:ascii="Arial" w:hAnsi="Arial" w:cs="Arial"/>
          <w:b/>
          <w:bCs/>
          <w:color w:val="000000"/>
          <w:sz w:val="22"/>
          <w:szCs w:val="22"/>
        </w:rPr>
        <w:t xml:space="preserve">/Agriculture: </w:t>
      </w:r>
    </w:p>
    <w:p w14:paraId="7CC9B346" w14:textId="3CA5222A" w:rsidR="00290CC9" w:rsidRDefault="00165EE0" w:rsidP="00871BE5">
      <w:pPr>
        <w:spacing w:line="276" w:lineRule="auto"/>
        <w:ind w:right="30"/>
        <w:jc w:val="both"/>
        <w:rPr>
          <w:rFonts w:ascii="Arial" w:hAnsi="Arial" w:cs="Arial"/>
          <w:color w:val="000000"/>
          <w:sz w:val="20"/>
          <w:szCs w:val="20"/>
        </w:rPr>
      </w:pPr>
      <w:r>
        <w:rPr>
          <w:rFonts w:ascii="Arial" w:hAnsi="Arial" w:cs="Arial"/>
          <w:color w:val="000000"/>
          <w:sz w:val="20"/>
          <w:szCs w:val="20"/>
        </w:rPr>
        <w:t>“</w:t>
      </w:r>
      <w:r w:rsidRPr="00165EE0">
        <w:rPr>
          <w:rFonts w:ascii="Arial" w:hAnsi="Arial" w:cs="Arial"/>
          <w:color w:val="000000"/>
          <w:sz w:val="20"/>
          <w:szCs w:val="20"/>
        </w:rPr>
        <w:t xml:space="preserve">This sector covers estimations of all anthropogenic non-CO2 emissions (CH4 and N2O) from agricultural systems (livestock and cropping) soils, except for fuel combustion and sewage emissions, as follows: CH4 emissions from: </w:t>
      </w:r>
      <w:proofErr w:type="spellStart"/>
      <w:r w:rsidRPr="00165EE0">
        <w:rPr>
          <w:rFonts w:ascii="Arial" w:hAnsi="Arial" w:cs="Arial"/>
          <w:color w:val="000000"/>
          <w:sz w:val="20"/>
          <w:szCs w:val="20"/>
        </w:rPr>
        <w:t>i</w:t>
      </w:r>
      <w:proofErr w:type="spellEnd"/>
      <w:r w:rsidRPr="00165EE0">
        <w:rPr>
          <w:rFonts w:ascii="Arial" w:hAnsi="Arial" w:cs="Arial"/>
          <w:color w:val="000000"/>
          <w:sz w:val="20"/>
          <w:szCs w:val="20"/>
        </w:rPr>
        <w:t xml:space="preserve">) enteric fermentation of ruminant animals, ii) animal manure management systems and, iii) burning of crop residues; N2O emissions from: </w:t>
      </w:r>
      <w:proofErr w:type="spellStart"/>
      <w:r w:rsidRPr="00165EE0">
        <w:rPr>
          <w:rFonts w:ascii="Arial" w:hAnsi="Arial" w:cs="Arial"/>
          <w:color w:val="000000"/>
          <w:sz w:val="20"/>
          <w:szCs w:val="20"/>
        </w:rPr>
        <w:t>i</w:t>
      </w:r>
      <w:proofErr w:type="spellEnd"/>
      <w:r w:rsidRPr="00165EE0">
        <w:rPr>
          <w:rFonts w:ascii="Arial" w:hAnsi="Arial" w:cs="Arial"/>
          <w:color w:val="000000"/>
          <w:sz w:val="20"/>
          <w:szCs w:val="20"/>
        </w:rPr>
        <w:t>) synthetic and organic nitrogen fertilizer applied to soils, ii) cultivation of organic soils, iii) animal manure deposited directly on pastures, iv) animal manure management systems, v) decomposition of organic residues and vi) burning of crop residues.</w:t>
      </w:r>
      <w:r>
        <w:rPr>
          <w:rFonts w:ascii="Arial" w:hAnsi="Arial" w:cs="Arial"/>
          <w:color w:val="000000"/>
          <w:sz w:val="20"/>
          <w:szCs w:val="20"/>
        </w:rPr>
        <w:t>” (de Azevedo et al., 20</w:t>
      </w:r>
      <w:r w:rsidR="00E77FB5">
        <w:rPr>
          <w:rFonts w:ascii="Arial" w:hAnsi="Arial" w:cs="Arial"/>
          <w:color w:val="000000"/>
          <w:sz w:val="20"/>
          <w:szCs w:val="20"/>
        </w:rPr>
        <w:t xml:space="preserve">18, </w:t>
      </w:r>
      <w:r w:rsidR="00F40346" w:rsidRPr="00F40346">
        <w:rPr>
          <w:rFonts w:ascii="Arial" w:hAnsi="Arial" w:cs="Arial"/>
          <w:color w:val="000000"/>
          <w:sz w:val="20"/>
          <w:szCs w:val="20"/>
        </w:rPr>
        <w:t>5:180045</w:t>
      </w:r>
      <w:r w:rsidR="00F40346">
        <w:rPr>
          <w:rFonts w:ascii="Arial" w:hAnsi="Arial" w:cs="Arial"/>
          <w:color w:val="000000"/>
          <w:sz w:val="20"/>
          <w:szCs w:val="20"/>
        </w:rPr>
        <w:t>).</w:t>
      </w:r>
    </w:p>
    <w:p w14:paraId="2FE4711B" w14:textId="77777777" w:rsidR="00165EE0" w:rsidRPr="00165EE0" w:rsidRDefault="00165EE0" w:rsidP="00165EE0">
      <w:pPr>
        <w:spacing w:line="276" w:lineRule="auto"/>
        <w:ind w:left="2268" w:right="30"/>
        <w:jc w:val="both"/>
        <w:rPr>
          <w:rFonts w:ascii="Arial" w:hAnsi="Arial" w:cs="Arial"/>
          <w:color w:val="000000"/>
          <w:sz w:val="20"/>
          <w:szCs w:val="20"/>
        </w:rPr>
      </w:pPr>
    </w:p>
    <w:p w14:paraId="5258E935" w14:textId="77777777" w:rsidR="00366286" w:rsidRPr="00366286" w:rsidRDefault="00F67C85" w:rsidP="00E02E36">
      <w:pPr>
        <w:spacing w:line="276" w:lineRule="auto"/>
        <w:ind w:right="30"/>
        <w:rPr>
          <w:b/>
          <w:bCs/>
        </w:rPr>
      </w:pPr>
      <w:r w:rsidRPr="00366286">
        <w:rPr>
          <w:rFonts w:ascii="Arial" w:hAnsi="Arial" w:cs="Arial"/>
          <w:b/>
          <w:bCs/>
          <w:color w:val="000000"/>
          <w:sz w:val="22"/>
          <w:szCs w:val="22"/>
          <w:lang w:val="en-NL"/>
        </w:rPr>
        <w:t xml:space="preserve">Land Use Change </w:t>
      </w:r>
      <w:r w:rsidRPr="00366286">
        <w:rPr>
          <w:rFonts w:ascii="Arial" w:hAnsi="Arial" w:cs="Arial"/>
          <w:b/>
          <w:bCs/>
          <w:color w:val="000000"/>
          <w:sz w:val="22"/>
          <w:szCs w:val="22"/>
        </w:rPr>
        <w:t>a</w:t>
      </w:r>
      <w:r w:rsidRPr="00366286">
        <w:rPr>
          <w:rFonts w:ascii="Arial" w:hAnsi="Arial" w:cs="Arial"/>
          <w:b/>
          <w:bCs/>
          <w:color w:val="000000"/>
          <w:sz w:val="22"/>
          <w:szCs w:val="22"/>
          <w:lang w:val="en-NL"/>
        </w:rPr>
        <w:t>nd Forestry</w:t>
      </w:r>
      <w:r w:rsidR="004A23BA" w:rsidRPr="00366286">
        <w:rPr>
          <w:rFonts w:ascii="Arial" w:hAnsi="Arial" w:cs="Arial"/>
          <w:b/>
          <w:bCs/>
          <w:color w:val="000000"/>
          <w:sz w:val="22"/>
          <w:szCs w:val="22"/>
        </w:rPr>
        <w:t>:</w:t>
      </w:r>
      <w:r w:rsidR="00366286" w:rsidRPr="00366286">
        <w:rPr>
          <w:b/>
          <w:bCs/>
        </w:rPr>
        <w:t xml:space="preserve"> </w:t>
      </w:r>
    </w:p>
    <w:p w14:paraId="05E350CB" w14:textId="7F7A7DB9" w:rsidR="00F67C85" w:rsidRPr="00366286" w:rsidRDefault="00366286" w:rsidP="00366286">
      <w:pPr>
        <w:spacing w:line="276" w:lineRule="auto"/>
        <w:ind w:right="30"/>
        <w:jc w:val="both"/>
        <w:rPr>
          <w:rFonts w:ascii="Arial" w:hAnsi="Arial" w:cs="Arial"/>
          <w:color w:val="000000"/>
          <w:sz w:val="20"/>
          <w:szCs w:val="20"/>
        </w:rPr>
      </w:pPr>
      <w:r>
        <w:rPr>
          <w:rFonts w:ascii="Arial" w:hAnsi="Arial" w:cs="Arial"/>
          <w:color w:val="000000"/>
          <w:sz w:val="20"/>
          <w:szCs w:val="20"/>
        </w:rPr>
        <w:t>“</w:t>
      </w:r>
      <w:r w:rsidRPr="00366286">
        <w:rPr>
          <w:rFonts w:ascii="Arial" w:hAnsi="Arial" w:cs="Arial"/>
          <w:color w:val="000000"/>
          <w:sz w:val="20"/>
          <w:szCs w:val="20"/>
        </w:rPr>
        <w:t>In this sector the estimations are associated with land cover and user change mapped using satellite data. The changes in land cover represent the main levels of emissions and removals of CO2, and the changes in land use represent the level of intensity of these emissions and removals. This sector also estimates emissions from burned forest residues (CH4 and N20) and liming.</w:t>
      </w:r>
      <w:r>
        <w:rPr>
          <w:rFonts w:ascii="Arial" w:hAnsi="Arial" w:cs="Arial"/>
          <w:color w:val="000000"/>
          <w:sz w:val="20"/>
          <w:szCs w:val="20"/>
        </w:rPr>
        <w:t>” (</w:t>
      </w:r>
      <w:r>
        <w:rPr>
          <w:rFonts w:ascii="Arial" w:hAnsi="Arial" w:cs="Arial"/>
          <w:color w:val="000000"/>
          <w:sz w:val="20"/>
          <w:szCs w:val="20"/>
        </w:rPr>
        <w:t xml:space="preserve">de Azevedo et al., 2018, </w:t>
      </w:r>
      <w:r w:rsidRPr="00F40346">
        <w:rPr>
          <w:rFonts w:ascii="Arial" w:hAnsi="Arial" w:cs="Arial"/>
          <w:color w:val="000000"/>
          <w:sz w:val="20"/>
          <w:szCs w:val="20"/>
        </w:rPr>
        <w:t>5:180045</w:t>
      </w:r>
      <w:r>
        <w:rPr>
          <w:rFonts w:ascii="Arial" w:hAnsi="Arial" w:cs="Arial"/>
          <w:color w:val="000000"/>
          <w:sz w:val="20"/>
          <w:szCs w:val="20"/>
        </w:rPr>
        <w:t>).</w:t>
      </w:r>
    </w:p>
    <w:p w14:paraId="29ADA0EF" w14:textId="77777777" w:rsidR="00D74894" w:rsidRDefault="00D74894" w:rsidP="00E02E36">
      <w:pPr>
        <w:spacing w:line="276" w:lineRule="auto"/>
        <w:ind w:right="30"/>
        <w:rPr>
          <w:rFonts w:ascii="Arial" w:hAnsi="Arial" w:cs="Arial"/>
          <w:color w:val="000000"/>
          <w:sz w:val="22"/>
          <w:szCs w:val="22"/>
          <w:lang w:val="en-NL"/>
        </w:rPr>
      </w:pPr>
    </w:p>
    <w:p w14:paraId="09C773FA" w14:textId="77777777" w:rsidR="00F40346" w:rsidRPr="00F40346" w:rsidRDefault="00290CC9" w:rsidP="00E02E36">
      <w:pPr>
        <w:spacing w:line="276" w:lineRule="auto"/>
        <w:ind w:right="30"/>
        <w:rPr>
          <w:rFonts w:ascii="Arial" w:hAnsi="Arial" w:cs="Arial"/>
          <w:b/>
          <w:bCs/>
          <w:color w:val="000000"/>
          <w:sz w:val="22"/>
          <w:szCs w:val="22"/>
        </w:rPr>
      </w:pPr>
      <w:r w:rsidRPr="00F40346">
        <w:rPr>
          <w:rFonts w:ascii="Arial" w:hAnsi="Arial" w:cs="Arial"/>
          <w:b/>
          <w:bCs/>
          <w:color w:val="000000"/>
          <w:sz w:val="22"/>
          <w:szCs w:val="22"/>
        </w:rPr>
        <w:t>Total</w:t>
      </w:r>
      <w:r w:rsidR="00F40346" w:rsidRPr="00F40346">
        <w:rPr>
          <w:rFonts w:ascii="Arial" w:hAnsi="Arial" w:cs="Arial"/>
          <w:b/>
          <w:bCs/>
          <w:color w:val="000000"/>
          <w:sz w:val="22"/>
          <w:szCs w:val="22"/>
        </w:rPr>
        <w:t>:</w:t>
      </w:r>
    </w:p>
    <w:p w14:paraId="30ED20D5" w14:textId="561912E9" w:rsidR="00290CC9" w:rsidRPr="00290CC9" w:rsidRDefault="00F40346" w:rsidP="00E02E36">
      <w:pPr>
        <w:spacing w:line="276" w:lineRule="auto"/>
        <w:ind w:right="30"/>
        <w:rPr>
          <w:rFonts w:ascii="Arial" w:hAnsi="Arial" w:cs="Arial"/>
          <w:color w:val="000000"/>
          <w:sz w:val="22"/>
          <w:szCs w:val="22"/>
        </w:rPr>
      </w:pPr>
      <w:r>
        <w:rPr>
          <w:rFonts w:ascii="Arial" w:hAnsi="Arial" w:cs="Arial"/>
          <w:color w:val="000000"/>
          <w:sz w:val="22"/>
          <w:szCs w:val="22"/>
        </w:rPr>
        <w:t>T</w:t>
      </w:r>
      <w:r w:rsidR="00290CC9" w:rsidRPr="00290CC9">
        <w:rPr>
          <w:rFonts w:ascii="Arial" w:hAnsi="Arial" w:cs="Arial"/>
          <w:color w:val="000000"/>
          <w:sz w:val="22"/>
          <w:szCs w:val="22"/>
        </w:rPr>
        <w:t xml:space="preserve">he </w:t>
      </w:r>
      <w:r>
        <w:rPr>
          <w:rFonts w:ascii="Arial" w:hAnsi="Arial" w:cs="Arial"/>
          <w:color w:val="000000"/>
          <w:sz w:val="22"/>
          <w:szCs w:val="22"/>
        </w:rPr>
        <w:t xml:space="preserve">simple </w:t>
      </w:r>
      <w:r w:rsidR="00290CC9" w:rsidRPr="00290CC9">
        <w:rPr>
          <w:rFonts w:ascii="Arial" w:hAnsi="Arial" w:cs="Arial"/>
          <w:color w:val="000000"/>
          <w:sz w:val="22"/>
          <w:szCs w:val="22"/>
        </w:rPr>
        <w:t xml:space="preserve">total value </w:t>
      </w:r>
      <w:r w:rsidR="00290CC9">
        <w:rPr>
          <w:rFonts w:ascii="Arial" w:hAnsi="Arial" w:cs="Arial"/>
          <w:color w:val="000000"/>
          <w:sz w:val="22"/>
          <w:szCs w:val="22"/>
        </w:rPr>
        <w:t xml:space="preserve">added of all previous variables. </w:t>
      </w:r>
    </w:p>
    <w:p w14:paraId="7D9C8C43" w14:textId="77777777" w:rsidR="00D74894" w:rsidRPr="00E02E36" w:rsidRDefault="00D74894" w:rsidP="00E02E36">
      <w:pPr>
        <w:spacing w:line="276" w:lineRule="auto"/>
        <w:ind w:right="30"/>
        <w:rPr>
          <w:rFonts w:ascii="Arial" w:hAnsi="Arial" w:cs="Arial"/>
          <w:color w:val="000000"/>
          <w:sz w:val="22"/>
          <w:szCs w:val="22"/>
          <w:lang w:val="en-GB"/>
        </w:rPr>
      </w:pPr>
    </w:p>
    <w:sectPr w:rsidR="00D74894" w:rsidRPr="00E02E36">
      <w:headerReference w:type="even" r:id="rId10"/>
      <w:headerReference w:type="default" r:id="rId11"/>
      <w:footerReference w:type="even" r:id="rId12"/>
      <w:footerReference w:type="default" r:id="rId13"/>
      <w:pgSz w:w="11900" w:h="16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AA48" w14:textId="77777777" w:rsidR="00661A95" w:rsidRDefault="00661A95">
      <w:r>
        <w:separator/>
      </w:r>
    </w:p>
  </w:endnote>
  <w:endnote w:type="continuationSeparator" w:id="0">
    <w:p w14:paraId="26B99F64" w14:textId="77777777" w:rsidR="00661A95" w:rsidRDefault="0066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4726204"/>
      <w:docPartObj>
        <w:docPartGallery w:val="Page Numbers (Bottom of Page)"/>
        <w:docPartUnique/>
      </w:docPartObj>
    </w:sdtPr>
    <w:sdtEndPr>
      <w:rPr>
        <w:rStyle w:val="PageNumber"/>
      </w:rPr>
    </w:sdtEndPr>
    <w:sdtContent>
      <w:p w14:paraId="09953BAA" w14:textId="58FAEB60" w:rsidR="00CB0201" w:rsidRDefault="00CB0201" w:rsidP="00720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3EBAE9" w14:textId="77777777" w:rsidR="00CB0201" w:rsidRDefault="00CB0201" w:rsidP="00CB02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3031851"/>
      <w:docPartObj>
        <w:docPartGallery w:val="Page Numbers (Bottom of Page)"/>
        <w:docPartUnique/>
      </w:docPartObj>
    </w:sdtPr>
    <w:sdtEndPr>
      <w:rPr>
        <w:rStyle w:val="PageNumber"/>
      </w:rPr>
    </w:sdtEndPr>
    <w:sdtContent>
      <w:p w14:paraId="5AF4B72E" w14:textId="2BDF8A1A" w:rsidR="00CB0201" w:rsidRDefault="00CB0201" w:rsidP="00720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148310" w14:textId="77777777" w:rsidR="00CB0201" w:rsidRDefault="00CB0201" w:rsidP="00CB02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9166" w14:textId="77777777" w:rsidR="00661A95" w:rsidRDefault="00661A95">
      <w:r>
        <w:separator/>
      </w:r>
    </w:p>
  </w:footnote>
  <w:footnote w:type="continuationSeparator" w:id="0">
    <w:p w14:paraId="60637409" w14:textId="77777777" w:rsidR="00661A95" w:rsidRDefault="00661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B5325F" w:rsidRDefault="00A05B0C">
    <w:pPr>
      <w:pBdr>
        <w:top w:val="nil"/>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sidR="00366286">
      <w:rPr>
        <w:rFonts w:ascii="Calibri" w:eastAsia="Calibri" w:hAnsi="Calibri" w:cs="Calibri"/>
        <w:color w:val="000000"/>
      </w:rPr>
      <w:fldChar w:fldCharType="separate"/>
    </w:r>
    <w:r>
      <w:rPr>
        <w:rFonts w:ascii="Calibri" w:eastAsia="Calibri" w:hAnsi="Calibri" w:cs="Calibri"/>
        <w:color w:val="000000"/>
      </w:rPr>
      <w:fldChar w:fldCharType="end"/>
    </w:r>
  </w:p>
  <w:p w14:paraId="00000028" w14:textId="77777777" w:rsidR="00B5325F" w:rsidRDefault="00B5325F">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B5325F" w:rsidRDefault="00B5325F">
    <w:pPr>
      <w:pBdr>
        <w:top w:val="nil"/>
        <w:left w:val="nil"/>
        <w:bottom w:val="nil"/>
        <w:right w:val="nil"/>
        <w:between w:val="nil"/>
      </w:pBdr>
      <w:tabs>
        <w:tab w:val="center" w:pos="4680"/>
        <w:tab w:val="right" w:pos="9360"/>
      </w:tabs>
      <w:jc w:val="right"/>
      <w:rPr>
        <w:rFonts w:ascii="Calibri" w:eastAsia="Calibri" w:hAnsi="Calibri" w:cs="Calibri"/>
        <w:color w:val="000000"/>
      </w:rPr>
    </w:pPr>
  </w:p>
  <w:p w14:paraId="00000026" w14:textId="77777777" w:rsidR="00B5325F" w:rsidRDefault="00B5325F">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B771C"/>
    <w:multiLevelType w:val="hybridMultilevel"/>
    <w:tmpl w:val="733070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BE652C6"/>
    <w:multiLevelType w:val="hybridMultilevel"/>
    <w:tmpl w:val="5EEE3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C3BD0"/>
    <w:multiLevelType w:val="hybridMultilevel"/>
    <w:tmpl w:val="8FD6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3E3ECC"/>
    <w:multiLevelType w:val="multilevel"/>
    <w:tmpl w:val="A3E07B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B21E44"/>
    <w:multiLevelType w:val="hybridMultilevel"/>
    <w:tmpl w:val="80BE9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40754A"/>
    <w:multiLevelType w:val="hybridMultilevel"/>
    <w:tmpl w:val="01880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6976334">
    <w:abstractNumId w:val="2"/>
  </w:num>
  <w:num w:numId="2" w16cid:durableId="1218592839">
    <w:abstractNumId w:val="1"/>
  </w:num>
  <w:num w:numId="3" w16cid:durableId="2123844647">
    <w:abstractNumId w:val="0"/>
  </w:num>
  <w:num w:numId="4" w16cid:durableId="1834908129">
    <w:abstractNumId w:val="3"/>
  </w:num>
  <w:num w:numId="5" w16cid:durableId="1912152361">
    <w:abstractNumId w:val="4"/>
  </w:num>
  <w:num w:numId="6" w16cid:durableId="1862551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5F"/>
    <w:rsid w:val="00007FB0"/>
    <w:rsid w:val="00021DC8"/>
    <w:rsid w:val="00025D33"/>
    <w:rsid w:val="00055624"/>
    <w:rsid w:val="00066871"/>
    <w:rsid w:val="000677B3"/>
    <w:rsid w:val="0007166B"/>
    <w:rsid w:val="00085494"/>
    <w:rsid w:val="00091E62"/>
    <w:rsid w:val="0009465D"/>
    <w:rsid w:val="000A10F7"/>
    <w:rsid w:val="000A6409"/>
    <w:rsid w:val="000C4453"/>
    <w:rsid w:val="000C59AD"/>
    <w:rsid w:val="000E5429"/>
    <w:rsid w:val="0010610F"/>
    <w:rsid w:val="00130E2A"/>
    <w:rsid w:val="001403EE"/>
    <w:rsid w:val="00150E09"/>
    <w:rsid w:val="00153B7A"/>
    <w:rsid w:val="00165EE0"/>
    <w:rsid w:val="001869C8"/>
    <w:rsid w:val="0019569E"/>
    <w:rsid w:val="001A0497"/>
    <w:rsid w:val="001A3611"/>
    <w:rsid w:val="001B410B"/>
    <w:rsid w:val="001C34E9"/>
    <w:rsid w:val="001C4AFA"/>
    <w:rsid w:val="001C5215"/>
    <w:rsid w:val="001D5A62"/>
    <w:rsid w:val="001E5264"/>
    <w:rsid w:val="001F642A"/>
    <w:rsid w:val="0020063A"/>
    <w:rsid w:val="00212C21"/>
    <w:rsid w:val="00223CFD"/>
    <w:rsid w:val="002341D4"/>
    <w:rsid w:val="002345D1"/>
    <w:rsid w:val="0026499A"/>
    <w:rsid w:val="00270351"/>
    <w:rsid w:val="00283C0D"/>
    <w:rsid w:val="002872BE"/>
    <w:rsid w:val="00290CC9"/>
    <w:rsid w:val="00294A56"/>
    <w:rsid w:val="00294FAA"/>
    <w:rsid w:val="0029555D"/>
    <w:rsid w:val="002B1577"/>
    <w:rsid w:val="002B1F84"/>
    <w:rsid w:val="002D2513"/>
    <w:rsid w:val="002D72E0"/>
    <w:rsid w:val="002E5730"/>
    <w:rsid w:val="002F46D9"/>
    <w:rsid w:val="002F61EA"/>
    <w:rsid w:val="002F6E66"/>
    <w:rsid w:val="00300DC9"/>
    <w:rsid w:val="003031CE"/>
    <w:rsid w:val="0030436D"/>
    <w:rsid w:val="00361DDC"/>
    <w:rsid w:val="00366286"/>
    <w:rsid w:val="00372202"/>
    <w:rsid w:val="00372498"/>
    <w:rsid w:val="003739E7"/>
    <w:rsid w:val="003930B9"/>
    <w:rsid w:val="00393439"/>
    <w:rsid w:val="003B5196"/>
    <w:rsid w:val="003C1E3A"/>
    <w:rsid w:val="003D1BDC"/>
    <w:rsid w:val="003E52A2"/>
    <w:rsid w:val="003E58EF"/>
    <w:rsid w:val="003F713B"/>
    <w:rsid w:val="0040596F"/>
    <w:rsid w:val="0042438E"/>
    <w:rsid w:val="004269B2"/>
    <w:rsid w:val="004464ED"/>
    <w:rsid w:val="00450D02"/>
    <w:rsid w:val="00466855"/>
    <w:rsid w:val="00476BE3"/>
    <w:rsid w:val="00491B34"/>
    <w:rsid w:val="004A23BA"/>
    <w:rsid w:val="004A773A"/>
    <w:rsid w:val="004D25D6"/>
    <w:rsid w:val="004E2ED2"/>
    <w:rsid w:val="00527EFB"/>
    <w:rsid w:val="0054300B"/>
    <w:rsid w:val="00543FA3"/>
    <w:rsid w:val="00547BC7"/>
    <w:rsid w:val="005529E6"/>
    <w:rsid w:val="0058070B"/>
    <w:rsid w:val="0058374A"/>
    <w:rsid w:val="005838EB"/>
    <w:rsid w:val="00590823"/>
    <w:rsid w:val="005A1E8F"/>
    <w:rsid w:val="005A21A7"/>
    <w:rsid w:val="005B649B"/>
    <w:rsid w:val="005C739B"/>
    <w:rsid w:val="005D1BC1"/>
    <w:rsid w:val="005F2ECC"/>
    <w:rsid w:val="005F639A"/>
    <w:rsid w:val="00605150"/>
    <w:rsid w:val="006267A0"/>
    <w:rsid w:val="006314D9"/>
    <w:rsid w:val="006412B8"/>
    <w:rsid w:val="00645BAC"/>
    <w:rsid w:val="00653A4D"/>
    <w:rsid w:val="00661A95"/>
    <w:rsid w:val="00662979"/>
    <w:rsid w:val="00667CC4"/>
    <w:rsid w:val="00687A6E"/>
    <w:rsid w:val="006A2CA6"/>
    <w:rsid w:val="006B243A"/>
    <w:rsid w:val="006B45B3"/>
    <w:rsid w:val="006B5671"/>
    <w:rsid w:val="006C3C4A"/>
    <w:rsid w:val="006C5522"/>
    <w:rsid w:val="006E0915"/>
    <w:rsid w:val="00701D33"/>
    <w:rsid w:val="00720DF4"/>
    <w:rsid w:val="007230C2"/>
    <w:rsid w:val="007234CB"/>
    <w:rsid w:val="00727CF1"/>
    <w:rsid w:val="00730DBB"/>
    <w:rsid w:val="007358E7"/>
    <w:rsid w:val="00752542"/>
    <w:rsid w:val="0075709D"/>
    <w:rsid w:val="007575FD"/>
    <w:rsid w:val="00761398"/>
    <w:rsid w:val="00774648"/>
    <w:rsid w:val="00782B7C"/>
    <w:rsid w:val="0078774C"/>
    <w:rsid w:val="007C54C3"/>
    <w:rsid w:val="007C6100"/>
    <w:rsid w:val="007C7F16"/>
    <w:rsid w:val="007E13DE"/>
    <w:rsid w:val="007F7694"/>
    <w:rsid w:val="00800902"/>
    <w:rsid w:val="00801B34"/>
    <w:rsid w:val="00802212"/>
    <w:rsid w:val="0083771B"/>
    <w:rsid w:val="0084151E"/>
    <w:rsid w:val="00852437"/>
    <w:rsid w:val="00853E46"/>
    <w:rsid w:val="008565E7"/>
    <w:rsid w:val="00871BE5"/>
    <w:rsid w:val="008926F8"/>
    <w:rsid w:val="00897A25"/>
    <w:rsid w:val="008A3E4F"/>
    <w:rsid w:val="008B53E6"/>
    <w:rsid w:val="008C31B4"/>
    <w:rsid w:val="008D0962"/>
    <w:rsid w:val="008D2410"/>
    <w:rsid w:val="008D4469"/>
    <w:rsid w:val="008D6C3D"/>
    <w:rsid w:val="0090234F"/>
    <w:rsid w:val="00903BBB"/>
    <w:rsid w:val="00913079"/>
    <w:rsid w:val="00923A39"/>
    <w:rsid w:val="00924CED"/>
    <w:rsid w:val="00947E0B"/>
    <w:rsid w:val="00952639"/>
    <w:rsid w:val="00964279"/>
    <w:rsid w:val="0096741E"/>
    <w:rsid w:val="0096770D"/>
    <w:rsid w:val="00975F01"/>
    <w:rsid w:val="009B1336"/>
    <w:rsid w:val="009C1F21"/>
    <w:rsid w:val="009C5E28"/>
    <w:rsid w:val="009C7111"/>
    <w:rsid w:val="009F000F"/>
    <w:rsid w:val="00A001C8"/>
    <w:rsid w:val="00A05B0C"/>
    <w:rsid w:val="00A14E81"/>
    <w:rsid w:val="00A23F42"/>
    <w:rsid w:val="00A3604D"/>
    <w:rsid w:val="00A4211D"/>
    <w:rsid w:val="00A60C45"/>
    <w:rsid w:val="00A82146"/>
    <w:rsid w:val="00A8610C"/>
    <w:rsid w:val="00AB718C"/>
    <w:rsid w:val="00AC0036"/>
    <w:rsid w:val="00AD7FFC"/>
    <w:rsid w:val="00AE0E81"/>
    <w:rsid w:val="00AF3766"/>
    <w:rsid w:val="00B02052"/>
    <w:rsid w:val="00B115F4"/>
    <w:rsid w:val="00B11B95"/>
    <w:rsid w:val="00B125D5"/>
    <w:rsid w:val="00B21CB4"/>
    <w:rsid w:val="00B24CE3"/>
    <w:rsid w:val="00B30521"/>
    <w:rsid w:val="00B37270"/>
    <w:rsid w:val="00B43ADF"/>
    <w:rsid w:val="00B45886"/>
    <w:rsid w:val="00B45B26"/>
    <w:rsid w:val="00B5325F"/>
    <w:rsid w:val="00B72BB5"/>
    <w:rsid w:val="00B812D7"/>
    <w:rsid w:val="00B92216"/>
    <w:rsid w:val="00B9321C"/>
    <w:rsid w:val="00BA545C"/>
    <w:rsid w:val="00BD2296"/>
    <w:rsid w:val="00BD66FE"/>
    <w:rsid w:val="00BE603F"/>
    <w:rsid w:val="00BF520C"/>
    <w:rsid w:val="00C23436"/>
    <w:rsid w:val="00C23B49"/>
    <w:rsid w:val="00C30268"/>
    <w:rsid w:val="00C322A4"/>
    <w:rsid w:val="00C67CC9"/>
    <w:rsid w:val="00C7723C"/>
    <w:rsid w:val="00C84933"/>
    <w:rsid w:val="00C966F1"/>
    <w:rsid w:val="00C97E44"/>
    <w:rsid w:val="00CB0201"/>
    <w:rsid w:val="00CB15B2"/>
    <w:rsid w:val="00CB6A5F"/>
    <w:rsid w:val="00CD1490"/>
    <w:rsid w:val="00CD73D6"/>
    <w:rsid w:val="00CF21F7"/>
    <w:rsid w:val="00D26967"/>
    <w:rsid w:val="00D57A48"/>
    <w:rsid w:val="00D703D1"/>
    <w:rsid w:val="00D74894"/>
    <w:rsid w:val="00D83944"/>
    <w:rsid w:val="00DA195A"/>
    <w:rsid w:val="00DB0C87"/>
    <w:rsid w:val="00DB7CA3"/>
    <w:rsid w:val="00DC0359"/>
    <w:rsid w:val="00DC3A28"/>
    <w:rsid w:val="00DD086A"/>
    <w:rsid w:val="00DD4C49"/>
    <w:rsid w:val="00DF0296"/>
    <w:rsid w:val="00E02E36"/>
    <w:rsid w:val="00E0349F"/>
    <w:rsid w:val="00E04CFB"/>
    <w:rsid w:val="00E05066"/>
    <w:rsid w:val="00E05F39"/>
    <w:rsid w:val="00E14662"/>
    <w:rsid w:val="00E25487"/>
    <w:rsid w:val="00E27994"/>
    <w:rsid w:val="00E35E99"/>
    <w:rsid w:val="00E43B64"/>
    <w:rsid w:val="00E46302"/>
    <w:rsid w:val="00E649CF"/>
    <w:rsid w:val="00E67BAB"/>
    <w:rsid w:val="00E719C0"/>
    <w:rsid w:val="00E72787"/>
    <w:rsid w:val="00E77FB5"/>
    <w:rsid w:val="00E9148E"/>
    <w:rsid w:val="00E91863"/>
    <w:rsid w:val="00EA5AFA"/>
    <w:rsid w:val="00EB23D7"/>
    <w:rsid w:val="00EE79C7"/>
    <w:rsid w:val="00F14BEC"/>
    <w:rsid w:val="00F16A11"/>
    <w:rsid w:val="00F40346"/>
    <w:rsid w:val="00F47B7C"/>
    <w:rsid w:val="00F50FC4"/>
    <w:rsid w:val="00F53BE3"/>
    <w:rsid w:val="00F67C85"/>
    <w:rsid w:val="00F905D8"/>
    <w:rsid w:val="00FC5D18"/>
    <w:rsid w:val="00FC6744"/>
    <w:rsid w:val="00FD13A8"/>
    <w:rsid w:val="00FD35A5"/>
    <w:rsid w:val="00FE19FB"/>
    <w:rsid w:val="00FE257C"/>
    <w:rsid w:val="00FF2AE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09EB89B"/>
  <w15:docId w15:val="{919BFFB3-D15A-C54D-8FB9-C9D0425F4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5B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A7377"/>
    <w:pPr>
      <w:ind w:left="720"/>
      <w:contextualSpacing/>
    </w:pPr>
    <w:rPr>
      <w:rFonts w:asciiTheme="minorHAnsi" w:eastAsiaTheme="minorHAnsi" w:hAnsiTheme="minorHAnsi" w:cstheme="minorBidi"/>
      <w:lang w:val="pt-BR"/>
    </w:rPr>
  </w:style>
  <w:style w:type="paragraph" w:styleId="Header">
    <w:name w:val="header"/>
    <w:basedOn w:val="Normal"/>
    <w:link w:val="HeaderChar"/>
    <w:uiPriority w:val="99"/>
    <w:unhideWhenUsed/>
    <w:rsid w:val="00CF0B20"/>
    <w:pPr>
      <w:tabs>
        <w:tab w:val="center" w:pos="4680"/>
        <w:tab w:val="right" w:pos="9360"/>
      </w:tabs>
    </w:pPr>
    <w:rPr>
      <w:rFonts w:asciiTheme="minorHAnsi" w:eastAsiaTheme="minorHAnsi" w:hAnsiTheme="minorHAnsi" w:cstheme="minorBidi"/>
      <w:lang w:val="pt-BR"/>
    </w:rPr>
  </w:style>
  <w:style w:type="character" w:customStyle="1" w:styleId="HeaderChar">
    <w:name w:val="Header Char"/>
    <w:basedOn w:val="DefaultParagraphFont"/>
    <w:link w:val="Header"/>
    <w:uiPriority w:val="99"/>
    <w:rsid w:val="00CF0B20"/>
    <w:rPr>
      <w:lang w:val="pt-BR"/>
    </w:rPr>
  </w:style>
  <w:style w:type="character" w:styleId="PageNumber">
    <w:name w:val="page number"/>
    <w:basedOn w:val="DefaultParagraphFont"/>
    <w:uiPriority w:val="99"/>
    <w:semiHidden/>
    <w:unhideWhenUsed/>
    <w:rsid w:val="00CF0B20"/>
  </w:style>
  <w:style w:type="paragraph" w:styleId="BalloonText">
    <w:name w:val="Balloon Text"/>
    <w:basedOn w:val="Normal"/>
    <w:link w:val="BalloonTextChar"/>
    <w:uiPriority w:val="99"/>
    <w:semiHidden/>
    <w:unhideWhenUsed/>
    <w:rsid w:val="00CD66FF"/>
    <w:rPr>
      <w:rFonts w:eastAsiaTheme="minorHAnsi"/>
      <w:sz w:val="18"/>
      <w:szCs w:val="18"/>
      <w:lang w:val="pt-BR"/>
    </w:rPr>
  </w:style>
  <w:style w:type="character" w:customStyle="1" w:styleId="BalloonTextChar">
    <w:name w:val="Balloon Text Char"/>
    <w:basedOn w:val="DefaultParagraphFont"/>
    <w:link w:val="BalloonText"/>
    <w:uiPriority w:val="99"/>
    <w:semiHidden/>
    <w:rsid w:val="00CD66FF"/>
    <w:rPr>
      <w:rFonts w:ascii="Times New Roman" w:hAnsi="Times New Roman" w:cs="Times New Roman"/>
      <w:sz w:val="18"/>
      <w:szCs w:val="18"/>
      <w:lang w:val="pt-BR"/>
    </w:rPr>
  </w:style>
  <w:style w:type="paragraph" w:styleId="Footer">
    <w:name w:val="footer"/>
    <w:basedOn w:val="Normal"/>
    <w:link w:val="FooterChar"/>
    <w:uiPriority w:val="99"/>
    <w:unhideWhenUsed/>
    <w:rsid w:val="00453A58"/>
    <w:pPr>
      <w:tabs>
        <w:tab w:val="center" w:pos="4680"/>
        <w:tab w:val="right" w:pos="9360"/>
      </w:tabs>
    </w:pPr>
    <w:rPr>
      <w:rFonts w:asciiTheme="minorHAnsi" w:eastAsiaTheme="minorHAnsi" w:hAnsiTheme="minorHAnsi" w:cstheme="minorBidi"/>
      <w:lang w:val="pt-BR"/>
    </w:rPr>
  </w:style>
  <w:style w:type="character" w:customStyle="1" w:styleId="FooterChar">
    <w:name w:val="Footer Char"/>
    <w:basedOn w:val="DefaultParagraphFont"/>
    <w:link w:val="Footer"/>
    <w:uiPriority w:val="99"/>
    <w:rsid w:val="00453A58"/>
    <w:rPr>
      <w:lang w:val="pt-BR"/>
    </w:rPr>
  </w:style>
  <w:style w:type="character" w:customStyle="1" w:styleId="bold">
    <w:name w:val="bold"/>
    <w:basedOn w:val="DefaultParagraphFont"/>
    <w:rsid w:val="00F35868"/>
  </w:style>
  <w:style w:type="character" w:customStyle="1" w:styleId="value">
    <w:name w:val="value"/>
    <w:basedOn w:val="DefaultParagraphFont"/>
    <w:rsid w:val="00F3586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D35A5"/>
    <w:rPr>
      <w:color w:val="0563C1" w:themeColor="hyperlink"/>
      <w:u w:val="single"/>
    </w:rPr>
  </w:style>
  <w:style w:type="character" w:styleId="UnresolvedMention">
    <w:name w:val="Unresolved Mention"/>
    <w:basedOn w:val="DefaultParagraphFont"/>
    <w:uiPriority w:val="99"/>
    <w:semiHidden/>
    <w:unhideWhenUsed/>
    <w:rsid w:val="00FD35A5"/>
    <w:rPr>
      <w:color w:val="605E5C"/>
      <w:shd w:val="clear" w:color="auto" w:fill="E1DFDD"/>
    </w:rPr>
  </w:style>
  <w:style w:type="character" w:styleId="CommentReference">
    <w:name w:val="annotation reference"/>
    <w:basedOn w:val="DefaultParagraphFont"/>
    <w:uiPriority w:val="99"/>
    <w:semiHidden/>
    <w:unhideWhenUsed/>
    <w:rsid w:val="00AC0036"/>
    <w:rPr>
      <w:sz w:val="16"/>
      <w:szCs w:val="16"/>
    </w:rPr>
  </w:style>
  <w:style w:type="paragraph" w:customStyle="1" w:styleId="Default">
    <w:name w:val="Default"/>
    <w:rsid w:val="00B37270"/>
    <w:pPr>
      <w:autoSpaceDE w:val="0"/>
      <w:autoSpaceDN w:val="0"/>
      <w:adjustRightInd w:val="0"/>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524611">
      <w:bodyDiv w:val="1"/>
      <w:marLeft w:val="0"/>
      <w:marRight w:val="0"/>
      <w:marTop w:val="0"/>
      <w:marBottom w:val="0"/>
      <w:divBdr>
        <w:top w:val="none" w:sz="0" w:space="0" w:color="auto"/>
        <w:left w:val="none" w:sz="0" w:space="0" w:color="auto"/>
        <w:bottom w:val="none" w:sz="0" w:space="0" w:color="auto"/>
        <w:right w:val="none" w:sz="0" w:space="0" w:color="auto"/>
      </w:divBdr>
    </w:div>
    <w:div w:id="1870750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ncbi.nlm.nih.gov/pmc/articles/PMC597269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lRbZbS68hlFZDXQLt7jDrdXoWw==">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17498A-A26A-6B4B-B62D-83096C6A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Mendes</dc:creator>
  <cp:lastModifiedBy>Isaias Mendes, M.V. (Vinícius)</cp:lastModifiedBy>
  <cp:revision>19</cp:revision>
  <dcterms:created xsi:type="dcterms:W3CDTF">2023-11-14T11:30:00Z</dcterms:created>
  <dcterms:modified xsi:type="dcterms:W3CDTF">2023-11-14T11:49:00Z</dcterms:modified>
</cp:coreProperties>
</file>